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0" w:rsidRPr="00835CEE" w:rsidRDefault="00180B50" w:rsidP="00835CEE">
      <w:pPr>
        <w:spacing w:before="120" w:after="120" w:line="240" w:lineRule="auto"/>
        <w:jc w:val="both"/>
        <w:rPr>
          <w:rFonts w:asciiTheme="majorHAnsi" w:hAnsiTheme="majorHAnsi" w:cs="Times New Roman"/>
          <w:b/>
        </w:rPr>
      </w:pPr>
      <w:r w:rsidRPr="00835CEE">
        <w:rPr>
          <w:rFonts w:asciiTheme="majorHAnsi" w:hAnsiTheme="majorHAnsi" w:cs="Times New Roman"/>
          <w:b/>
        </w:rPr>
        <w:t>KPDS-ÜDS-YDS</w:t>
      </w:r>
      <w:r w:rsidR="00483A19" w:rsidRPr="00835CEE">
        <w:rPr>
          <w:rFonts w:asciiTheme="majorHAnsi" w:hAnsiTheme="majorHAnsi" w:cs="Times New Roman"/>
          <w:b/>
        </w:rPr>
        <w:t>-</w:t>
      </w:r>
      <w:r w:rsidR="00811BE1" w:rsidRPr="00835CEE">
        <w:rPr>
          <w:rFonts w:asciiTheme="majorHAnsi" w:hAnsiTheme="majorHAnsi" w:cs="Times New Roman"/>
          <w:b/>
        </w:rPr>
        <w:t>e-YDS-</w:t>
      </w:r>
      <w:r w:rsidR="00483A19" w:rsidRPr="00835CEE">
        <w:rPr>
          <w:rFonts w:asciiTheme="majorHAnsi" w:hAnsiTheme="majorHAnsi" w:cs="Times New Roman"/>
          <w:b/>
        </w:rPr>
        <w:t>YÖKDİL</w:t>
      </w:r>
      <w:r w:rsidRPr="00835CEE">
        <w:rPr>
          <w:rFonts w:asciiTheme="majorHAnsi" w:hAnsiTheme="majorHAnsi" w:cs="Times New Roman"/>
          <w:b/>
        </w:rPr>
        <w:t xml:space="preserve"> Eşdeğerliği</w:t>
      </w:r>
    </w:p>
    <w:p w:rsidR="00180B50" w:rsidRPr="00835CEE" w:rsidRDefault="00180B50" w:rsidP="00835CEE">
      <w:pPr>
        <w:spacing w:before="120" w:after="120" w:line="240" w:lineRule="auto"/>
        <w:jc w:val="both"/>
        <w:rPr>
          <w:rFonts w:asciiTheme="majorHAnsi" w:hAnsiTheme="majorHAnsi" w:cs="Times New Roman"/>
        </w:rPr>
      </w:pPr>
      <w:r w:rsidRPr="00835CEE">
        <w:rPr>
          <w:rFonts w:asciiTheme="majorHAnsi" w:hAnsiTheme="majorHAnsi" w:cs="Times New Roman"/>
        </w:rPr>
        <w:t>ÖSYM tarafından yapılan, Kamu Personeli Yabancı Dil Bilgisi Seviye Tespit Sınavı (KPDS), Üniversitelerarası Ku</w:t>
      </w:r>
      <w:r w:rsidR="00F905ED" w:rsidRPr="00835CEE">
        <w:rPr>
          <w:rFonts w:asciiTheme="majorHAnsi" w:hAnsiTheme="majorHAnsi" w:cs="Times New Roman"/>
        </w:rPr>
        <w:t xml:space="preserve">rul Yabancı Dil Sınavı (ÜDS), </w:t>
      </w:r>
      <w:r w:rsidRPr="00835CEE">
        <w:rPr>
          <w:rFonts w:asciiTheme="majorHAnsi" w:hAnsiTheme="majorHAnsi" w:cs="Times New Roman"/>
        </w:rPr>
        <w:t>Yabancı Dil Bilgisi Seviye Tespit Sınavı (YDS</w:t>
      </w:r>
      <w:r w:rsidR="00766A84" w:rsidRPr="00835CEE">
        <w:rPr>
          <w:rFonts w:asciiTheme="majorHAnsi" w:hAnsiTheme="majorHAnsi" w:cs="Times New Roman"/>
        </w:rPr>
        <w:t>/e-YDS</w:t>
      </w:r>
      <w:r w:rsidRPr="00835CEE">
        <w:rPr>
          <w:rFonts w:asciiTheme="majorHAnsi" w:hAnsiTheme="majorHAnsi" w:cs="Times New Roman"/>
        </w:rPr>
        <w:t xml:space="preserve">) </w:t>
      </w:r>
      <w:r w:rsidR="00F905ED" w:rsidRPr="00835CEE">
        <w:rPr>
          <w:rFonts w:asciiTheme="majorHAnsi" w:hAnsiTheme="majorHAnsi" w:cs="Times New Roman"/>
        </w:rPr>
        <w:t xml:space="preserve">ve YÖK tarafından yapılan YÖKDİL sınavı </w:t>
      </w:r>
      <w:r w:rsidRPr="00835CEE">
        <w:rPr>
          <w:rFonts w:asciiTheme="majorHAnsi" w:hAnsiTheme="majorHAnsi" w:cs="Times New Roman"/>
        </w:rPr>
        <w:t>birbirlerine çift yönlü olarak denktir/eşdeğerdir.</w:t>
      </w:r>
    </w:p>
    <w:p w:rsidR="00180B50" w:rsidRPr="00835CEE" w:rsidRDefault="00180B50" w:rsidP="00835CEE">
      <w:pPr>
        <w:spacing w:before="120" w:after="120" w:line="240" w:lineRule="auto"/>
        <w:jc w:val="both"/>
        <w:rPr>
          <w:rFonts w:asciiTheme="majorHAnsi" w:hAnsiTheme="majorHAnsi" w:cs="Times New Roman"/>
          <w:b/>
        </w:rPr>
      </w:pPr>
      <w:r w:rsidRPr="00835CEE">
        <w:rPr>
          <w:rFonts w:asciiTheme="majorHAnsi" w:hAnsiTheme="majorHAnsi" w:cs="Times New Roman"/>
          <w:b/>
        </w:rPr>
        <w:t>Uluslararası Yabancı Dil Sınavlarının KPDS-ÜDS-YDS</w:t>
      </w:r>
      <w:r w:rsidR="00766A84" w:rsidRPr="00835CEE">
        <w:rPr>
          <w:rFonts w:asciiTheme="majorHAnsi" w:hAnsiTheme="majorHAnsi" w:cs="Times New Roman"/>
          <w:b/>
        </w:rPr>
        <w:t>-e-YDS</w:t>
      </w:r>
      <w:r w:rsidR="00483A19" w:rsidRPr="00835CEE">
        <w:rPr>
          <w:rFonts w:asciiTheme="majorHAnsi" w:hAnsiTheme="majorHAnsi" w:cs="Times New Roman"/>
          <w:b/>
        </w:rPr>
        <w:t>-YÖKDİL</w:t>
      </w:r>
      <w:r w:rsidRPr="00835CEE">
        <w:rPr>
          <w:rFonts w:asciiTheme="majorHAnsi" w:hAnsiTheme="majorHAnsi" w:cs="Times New Roman"/>
          <w:b/>
        </w:rPr>
        <w:t xml:space="preserve"> Eşdeğerliği</w:t>
      </w:r>
    </w:p>
    <w:p w:rsidR="00180B50" w:rsidRPr="00835CEE" w:rsidRDefault="00180B50" w:rsidP="00835CEE">
      <w:pPr>
        <w:spacing w:before="120" w:after="120" w:line="240" w:lineRule="auto"/>
        <w:jc w:val="both"/>
        <w:rPr>
          <w:rFonts w:asciiTheme="majorHAnsi" w:hAnsiTheme="majorHAnsi" w:cs="Times New Roman"/>
        </w:rPr>
      </w:pPr>
      <w:r w:rsidRPr="00835CEE">
        <w:rPr>
          <w:rFonts w:asciiTheme="majorHAnsi" w:hAnsiTheme="majorHAnsi" w:cs="Times New Roman"/>
        </w:rPr>
        <w:t>Herhangi bir uluslararası yaba</w:t>
      </w:r>
      <w:r w:rsidR="00483A19" w:rsidRPr="00835CEE">
        <w:rPr>
          <w:rFonts w:asciiTheme="majorHAnsi" w:hAnsiTheme="majorHAnsi" w:cs="Times New Roman"/>
        </w:rPr>
        <w:t>ncı dil sınavının KPDS, ÜDS, YDS</w:t>
      </w:r>
      <w:r w:rsidR="00766A84" w:rsidRPr="00835CEE">
        <w:rPr>
          <w:rFonts w:asciiTheme="majorHAnsi" w:hAnsiTheme="majorHAnsi" w:cs="Times New Roman"/>
        </w:rPr>
        <w:t>- e-YDS</w:t>
      </w:r>
      <w:r w:rsidR="00483A19" w:rsidRPr="00835CEE">
        <w:rPr>
          <w:rFonts w:asciiTheme="majorHAnsi" w:hAnsiTheme="majorHAnsi" w:cs="Times New Roman"/>
        </w:rPr>
        <w:t xml:space="preserve"> ve </w:t>
      </w:r>
      <w:proofErr w:type="spellStart"/>
      <w:r w:rsidR="00483A19" w:rsidRPr="00835CEE">
        <w:rPr>
          <w:rFonts w:asciiTheme="majorHAnsi" w:hAnsiTheme="majorHAnsi" w:cs="Times New Roman"/>
        </w:rPr>
        <w:t>YÖKDİL’e</w:t>
      </w:r>
      <w:proofErr w:type="spellEnd"/>
      <w:r w:rsidRPr="00835CEE">
        <w:rPr>
          <w:rFonts w:asciiTheme="majorHAnsi" w:hAnsiTheme="majorHAnsi" w:cs="Times New Roman"/>
        </w:rPr>
        <w:t xml:space="preserve"> eşdeğer olarak kabul edilmesinde öncelikle sınavın uluslararası geçerliliğe sahip olmasına ve sınavı hazırlayan kurumun sadece bağlı olduğu ülkenin resmi dili/dillerinde yaptığı sınavların eşdeğer kabul edilmesine karar verilmiştir.</w:t>
      </w:r>
    </w:p>
    <w:p w:rsidR="00180B50" w:rsidRPr="00835CEE" w:rsidRDefault="00180B50" w:rsidP="00835CEE">
      <w:pPr>
        <w:spacing w:before="120" w:after="120" w:line="240" w:lineRule="auto"/>
        <w:jc w:val="both"/>
        <w:rPr>
          <w:rFonts w:asciiTheme="majorHAnsi" w:hAnsiTheme="majorHAnsi" w:cs="Times New Roman"/>
        </w:rPr>
      </w:pPr>
      <w:r w:rsidRPr="00835CEE">
        <w:rPr>
          <w:rFonts w:asciiTheme="majorHAnsi" w:hAnsiTheme="majorHAnsi" w:cs="Times New Roman"/>
        </w:rPr>
        <w:t>Eşdeğerliği kabul edilmiş yabancı dil sınavları için sonuç belgesinin üzerinde bir geçerlik tarihi belirtilmedi ise, Eylül 2005 ve sonrasında alınan yabancı dil belgelerinin geçerli kabul edilmesine karar verilmiştir.</w:t>
      </w:r>
    </w:p>
    <w:p w:rsidR="00180B50" w:rsidRPr="00835CEE" w:rsidRDefault="00180B50" w:rsidP="00835CEE">
      <w:pPr>
        <w:spacing w:before="120" w:after="120" w:line="240" w:lineRule="auto"/>
        <w:jc w:val="both"/>
        <w:rPr>
          <w:rFonts w:asciiTheme="majorHAnsi" w:hAnsiTheme="majorHAnsi" w:cs="Times New Roman"/>
        </w:rPr>
      </w:pPr>
      <w:r w:rsidRPr="00835CEE">
        <w:rPr>
          <w:rFonts w:asciiTheme="majorHAnsi" w:hAnsiTheme="majorHAnsi" w:cs="Times New Roman"/>
        </w:rPr>
        <w:t>Yabancı dil sınavları eşdeğerlikleri tablosunda kabul edilen yabanc</w:t>
      </w:r>
      <w:r w:rsidR="007106B6" w:rsidRPr="00835CEE">
        <w:rPr>
          <w:rFonts w:asciiTheme="majorHAnsi" w:hAnsiTheme="majorHAnsi" w:cs="Times New Roman"/>
        </w:rPr>
        <w:t xml:space="preserve">ı dil sınavları; KPDS, ÜDS, </w:t>
      </w:r>
      <w:r w:rsidRPr="00835CEE">
        <w:rPr>
          <w:rFonts w:asciiTheme="majorHAnsi" w:hAnsiTheme="majorHAnsi" w:cs="Times New Roman"/>
        </w:rPr>
        <w:t>YDS</w:t>
      </w:r>
      <w:r w:rsidR="00766A84" w:rsidRPr="00835CEE">
        <w:rPr>
          <w:rFonts w:asciiTheme="majorHAnsi" w:hAnsiTheme="majorHAnsi" w:cs="Times New Roman"/>
        </w:rPr>
        <w:t>, e-YDS</w:t>
      </w:r>
      <w:r w:rsidR="007106B6" w:rsidRPr="00835CEE">
        <w:rPr>
          <w:rFonts w:asciiTheme="majorHAnsi" w:hAnsiTheme="majorHAnsi" w:cs="Times New Roman"/>
        </w:rPr>
        <w:t xml:space="preserve"> ve YÖKDİL</w:t>
      </w:r>
      <w:r w:rsidRPr="00835CEE">
        <w:rPr>
          <w:rFonts w:asciiTheme="majorHAnsi" w:hAnsiTheme="majorHAnsi" w:cs="Times New Roman"/>
        </w:rPr>
        <w:t xml:space="preserve"> ile tek yönlü olarak eşdeğerdir. Tablolarda belirtilen sınavlar dışında kalan Üniversite, Enstitü veya diğer dil öğretimi yapan kuruluşlarca düzenlenen çeşitli kurslara yönelik yapılan seviye tespit sınavları bu eşdeğerlik tablosuna göre değerlendirilemez.</w:t>
      </w:r>
    </w:p>
    <w:p w:rsidR="00CD3F2C" w:rsidRPr="00835CEE" w:rsidRDefault="00CD3F2C" w:rsidP="00835CEE">
      <w:pPr>
        <w:pStyle w:val="Default"/>
        <w:spacing w:before="120" w:after="120"/>
        <w:jc w:val="both"/>
        <w:rPr>
          <w:rFonts w:asciiTheme="majorHAnsi" w:hAnsiTheme="majorHAnsi"/>
          <w:sz w:val="22"/>
          <w:szCs w:val="22"/>
        </w:rPr>
      </w:pPr>
      <w:r w:rsidRPr="00835CEE">
        <w:rPr>
          <w:rFonts w:asciiTheme="majorHAnsi" w:hAnsiTheme="majorHAnsi"/>
          <w:b/>
          <w:bCs/>
          <w:sz w:val="22"/>
          <w:szCs w:val="22"/>
        </w:rPr>
        <w:t>KPDS-ÜDS-YDS-</w:t>
      </w:r>
      <w:r w:rsidR="00766A84" w:rsidRPr="00835CEE">
        <w:rPr>
          <w:rFonts w:asciiTheme="majorHAnsi" w:hAnsiTheme="majorHAnsi"/>
          <w:b/>
          <w:bCs/>
          <w:sz w:val="22"/>
          <w:szCs w:val="22"/>
        </w:rPr>
        <w:t>e-YDS-</w:t>
      </w:r>
      <w:proofErr w:type="spellStart"/>
      <w:r w:rsidRPr="00835CEE">
        <w:rPr>
          <w:rFonts w:asciiTheme="majorHAnsi" w:hAnsiTheme="majorHAnsi"/>
          <w:b/>
          <w:bCs/>
          <w:sz w:val="22"/>
          <w:szCs w:val="22"/>
        </w:rPr>
        <w:t>YÖKDİL’in</w:t>
      </w:r>
      <w:proofErr w:type="spellEnd"/>
      <w:r w:rsidRPr="00835CEE">
        <w:rPr>
          <w:rFonts w:asciiTheme="majorHAnsi" w:hAnsiTheme="majorHAnsi"/>
          <w:b/>
          <w:bCs/>
          <w:sz w:val="22"/>
          <w:szCs w:val="22"/>
        </w:rPr>
        <w:t xml:space="preserve"> Avrupa Ortak Dil Referans Çerçevesi Seviyeleri </w:t>
      </w:r>
    </w:p>
    <w:p w:rsidR="00CD3F2C" w:rsidRPr="00835CEE" w:rsidRDefault="00CD3F2C" w:rsidP="00835CEE">
      <w:pPr>
        <w:spacing w:after="0" w:line="240" w:lineRule="auto"/>
        <w:jc w:val="both"/>
        <w:rPr>
          <w:rFonts w:asciiTheme="majorHAnsi" w:hAnsiTheme="majorHAnsi" w:cs="Times New Roman"/>
        </w:rPr>
      </w:pPr>
      <w:r w:rsidRPr="00835CEE">
        <w:rPr>
          <w:rFonts w:asciiTheme="majorHAnsi" w:hAnsiTheme="majorHAnsi" w:cs="Times New Roman"/>
        </w:rPr>
        <w:t xml:space="preserve">Avrupa Ortak Dil Referans Çerçevesi Seviyeleri ile </w:t>
      </w:r>
      <w:r w:rsidR="006C2D98" w:rsidRPr="00835CEE">
        <w:rPr>
          <w:rFonts w:asciiTheme="majorHAnsi" w:hAnsiTheme="majorHAnsi" w:cs="Times New Roman"/>
        </w:rPr>
        <w:t>KPDS-ÜDS-YDS-</w:t>
      </w:r>
      <w:r w:rsidR="00766A84" w:rsidRPr="00835CEE">
        <w:rPr>
          <w:rFonts w:asciiTheme="majorHAnsi" w:hAnsiTheme="majorHAnsi" w:cs="Times New Roman"/>
        </w:rPr>
        <w:t>e-YDS-</w:t>
      </w:r>
      <w:r w:rsidR="006C2D98" w:rsidRPr="00835CEE">
        <w:rPr>
          <w:rFonts w:asciiTheme="majorHAnsi" w:hAnsiTheme="majorHAnsi" w:cs="Times New Roman"/>
        </w:rPr>
        <w:t xml:space="preserve">YÖKDİL </w:t>
      </w:r>
      <w:r w:rsidRPr="00835CEE">
        <w:rPr>
          <w:rFonts w:asciiTheme="majorHAnsi" w:hAnsiTheme="majorHAnsi" w:cs="Times New Roman"/>
        </w:rPr>
        <w:t>arası</w:t>
      </w:r>
      <w:r w:rsidR="006C2D98" w:rsidRPr="00835CEE">
        <w:rPr>
          <w:rFonts w:asciiTheme="majorHAnsi" w:hAnsiTheme="majorHAnsi" w:cs="Times New Roman"/>
        </w:rPr>
        <w:t xml:space="preserve">nda aşağıdaki tabloda </w:t>
      </w:r>
      <w:r w:rsidRPr="00835CEE">
        <w:rPr>
          <w:rFonts w:asciiTheme="majorHAnsi" w:hAnsiTheme="majorHAnsi" w:cs="Times New Roman"/>
        </w:rPr>
        <w:t>verilen eşdeğerlik geçerlidir.</w:t>
      </w:r>
    </w:p>
    <w:p w:rsidR="006C2D98" w:rsidRPr="00835CEE" w:rsidRDefault="006C2D98" w:rsidP="00835CEE">
      <w:pPr>
        <w:spacing w:after="0" w:line="240" w:lineRule="auto"/>
        <w:jc w:val="both"/>
        <w:rPr>
          <w:rFonts w:asciiTheme="majorHAnsi" w:hAnsiTheme="majorHAnsi"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51"/>
        <w:gridCol w:w="4820"/>
      </w:tblGrid>
      <w:tr w:rsidR="006C2D98" w:rsidRPr="00835CEE" w:rsidTr="00835CEE">
        <w:trPr>
          <w:tblCellSpacing w:w="0"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hAnsiTheme="majorHAnsi" w:cs="Times New Roman"/>
                <w:b/>
              </w:rPr>
              <w:t>Avrupa Ortak Dil Referans Çerçevesi Seviyeleri</w:t>
            </w:r>
          </w:p>
        </w:tc>
        <w:tc>
          <w:tcPr>
            <w:tcW w:w="4820"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KPDS/ÜDS/YDS/</w:t>
            </w:r>
            <w:r w:rsidR="00766A84" w:rsidRPr="00835CEE">
              <w:rPr>
                <w:rFonts w:asciiTheme="majorHAnsi" w:eastAsia="Times New Roman" w:hAnsiTheme="majorHAnsi" w:cs="Times New Roman"/>
                <w:b/>
                <w:bCs/>
                <w:color w:val="000000"/>
                <w:lang w:val="en-AU" w:eastAsia="en-AU"/>
              </w:rPr>
              <w:t>e-YDS/</w:t>
            </w:r>
            <w:r w:rsidRPr="00835CEE">
              <w:rPr>
                <w:rFonts w:asciiTheme="majorHAnsi" w:eastAsia="Times New Roman" w:hAnsiTheme="majorHAnsi" w:cs="Times New Roman"/>
                <w:b/>
                <w:bCs/>
                <w:color w:val="000000"/>
                <w:lang w:val="en-AU" w:eastAsia="en-AU"/>
              </w:rPr>
              <w:t>YÖKDİL</w:t>
            </w:r>
          </w:p>
        </w:tc>
      </w:tr>
      <w:tr w:rsidR="006C2D98" w:rsidRPr="00835CEE" w:rsidTr="00835CEE">
        <w:trPr>
          <w:tblCellSpacing w:w="0"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B1</w:t>
            </w:r>
          </w:p>
        </w:tc>
        <w:tc>
          <w:tcPr>
            <w:tcW w:w="4820"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60</w:t>
            </w:r>
          </w:p>
        </w:tc>
      </w:tr>
      <w:tr w:rsidR="006C2D98" w:rsidRPr="00835CEE" w:rsidTr="00835CEE">
        <w:trPr>
          <w:tblCellSpacing w:w="0"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B2</w:t>
            </w:r>
          </w:p>
        </w:tc>
        <w:tc>
          <w:tcPr>
            <w:tcW w:w="4820"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75</w:t>
            </w:r>
          </w:p>
        </w:tc>
      </w:tr>
      <w:tr w:rsidR="006C2D98" w:rsidRPr="00835CEE" w:rsidTr="00835CEE">
        <w:trPr>
          <w:tblCellSpacing w:w="0"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C1</w:t>
            </w:r>
          </w:p>
        </w:tc>
        <w:tc>
          <w:tcPr>
            <w:tcW w:w="4820"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95</w:t>
            </w:r>
          </w:p>
        </w:tc>
      </w:tr>
      <w:tr w:rsidR="006C2D98" w:rsidRPr="00835CEE" w:rsidTr="00835CEE">
        <w:trPr>
          <w:tblCellSpacing w:w="0"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C2</w:t>
            </w:r>
          </w:p>
        </w:tc>
        <w:tc>
          <w:tcPr>
            <w:tcW w:w="4820" w:type="dxa"/>
            <w:tcBorders>
              <w:top w:val="outset" w:sz="6" w:space="0" w:color="auto"/>
              <w:left w:val="outset" w:sz="6" w:space="0" w:color="auto"/>
              <w:bottom w:val="outset" w:sz="6" w:space="0" w:color="auto"/>
              <w:right w:val="outset" w:sz="6" w:space="0" w:color="auto"/>
            </w:tcBorders>
            <w:vAlign w:val="center"/>
            <w:hideMark/>
          </w:tcPr>
          <w:p w:rsidR="006C2D98" w:rsidRPr="00835CEE" w:rsidRDefault="006C2D98" w:rsidP="00835CEE">
            <w:pPr>
              <w:spacing w:after="0" w:line="240" w:lineRule="auto"/>
              <w:jc w:val="center"/>
              <w:rPr>
                <w:rFonts w:asciiTheme="majorHAnsi" w:eastAsia="Times New Roman" w:hAnsiTheme="majorHAnsi" w:cs="Times New Roman"/>
                <w:color w:val="000000"/>
                <w:lang w:val="en-AU" w:eastAsia="en-AU"/>
              </w:rPr>
            </w:pPr>
            <w:r w:rsidRPr="00835CEE">
              <w:rPr>
                <w:rFonts w:asciiTheme="majorHAnsi" w:eastAsia="Times New Roman" w:hAnsiTheme="majorHAnsi" w:cs="Times New Roman"/>
                <w:b/>
                <w:bCs/>
                <w:color w:val="000000"/>
                <w:lang w:val="en-AU" w:eastAsia="en-AU"/>
              </w:rPr>
              <w:t>100</w:t>
            </w:r>
          </w:p>
        </w:tc>
      </w:tr>
    </w:tbl>
    <w:p w:rsidR="00F905ED" w:rsidRPr="00835CEE" w:rsidRDefault="00F905ED" w:rsidP="00835CEE">
      <w:pPr>
        <w:pStyle w:val="Default"/>
        <w:spacing w:before="120" w:after="120"/>
        <w:rPr>
          <w:rFonts w:asciiTheme="majorHAnsi" w:hAnsiTheme="majorHAnsi"/>
          <w:sz w:val="22"/>
          <w:szCs w:val="22"/>
        </w:rPr>
      </w:pPr>
      <w:r w:rsidRPr="00835CEE">
        <w:rPr>
          <w:rFonts w:asciiTheme="majorHAnsi" w:hAnsiTheme="majorHAnsi"/>
          <w:b/>
          <w:bCs/>
          <w:sz w:val="22"/>
          <w:szCs w:val="22"/>
        </w:rPr>
        <w:t>İngilizce Sınavları KPDS-ÜDS-YDS</w:t>
      </w:r>
      <w:r w:rsidR="00CC35B4" w:rsidRPr="00835CEE">
        <w:rPr>
          <w:rFonts w:asciiTheme="majorHAnsi" w:hAnsiTheme="majorHAnsi"/>
          <w:b/>
          <w:bCs/>
          <w:sz w:val="22"/>
          <w:szCs w:val="22"/>
        </w:rPr>
        <w:t>-</w:t>
      </w:r>
      <w:r w:rsidR="00766A84" w:rsidRPr="00835CEE">
        <w:rPr>
          <w:rFonts w:asciiTheme="majorHAnsi" w:hAnsiTheme="majorHAnsi"/>
          <w:b/>
          <w:bCs/>
          <w:sz w:val="22"/>
          <w:szCs w:val="22"/>
        </w:rPr>
        <w:t>e-YDS-</w:t>
      </w:r>
      <w:r w:rsidR="00CC35B4" w:rsidRPr="00835CEE">
        <w:rPr>
          <w:rFonts w:asciiTheme="majorHAnsi" w:hAnsiTheme="majorHAnsi"/>
          <w:b/>
          <w:bCs/>
          <w:sz w:val="22"/>
          <w:szCs w:val="22"/>
        </w:rPr>
        <w:t>YÖKDİL</w:t>
      </w:r>
      <w:r w:rsidRPr="00835CEE">
        <w:rPr>
          <w:rFonts w:asciiTheme="majorHAnsi" w:hAnsiTheme="majorHAnsi"/>
          <w:b/>
          <w:bCs/>
          <w:sz w:val="22"/>
          <w:szCs w:val="22"/>
        </w:rPr>
        <w:t xml:space="preserve"> Eşdeğerliği </w:t>
      </w:r>
    </w:p>
    <w:p w:rsidR="00F905ED" w:rsidRPr="00835CEE" w:rsidRDefault="00F905ED" w:rsidP="00835CEE">
      <w:pPr>
        <w:spacing w:before="120" w:after="120" w:line="240" w:lineRule="auto"/>
        <w:jc w:val="both"/>
        <w:rPr>
          <w:rFonts w:asciiTheme="majorHAnsi" w:hAnsiTheme="majorHAnsi" w:cs="Times New Roman"/>
        </w:rPr>
      </w:pPr>
      <w:r w:rsidRPr="00835CEE">
        <w:rPr>
          <w:rFonts w:asciiTheme="majorHAnsi" w:hAnsiTheme="majorHAnsi" w:cs="Times New Roman"/>
        </w:rPr>
        <w:t>İngilizce için eşdeğerliği kabul edil</w:t>
      </w:r>
      <w:r w:rsidR="002855CA" w:rsidRPr="00835CEE">
        <w:rPr>
          <w:rFonts w:asciiTheme="majorHAnsi" w:hAnsiTheme="majorHAnsi" w:cs="Times New Roman"/>
        </w:rPr>
        <w:t>en sınavların (CPE, CAE, TOEFL i</w:t>
      </w:r>
      <w:r w:rsidRPr="00835CEE">
        <w:rPr>
          <w:rFonts w:asciiTheme="majorHAnsi" w:hAnsiTheme="majorHAnsi" w:cs="Times New Roman"/>
        </w:rPr>
        <w:t>BT, PTE Akademik) eşdeğer olduğu KPDS-ÜDS-YDS-</w:t>
      </w:r>
      <w:r w:rsidR="00766A84" w:rsidRPr="00835CEE">
        <w:rPr>
          <w:rFonts w:asciiTheme="majorHAnsi" w:hAnsiTheme="majorHAnsi" w:cs="Times New Roman"/>
        </w:rPr>
        <w:t>e-YDS-</w:t>
      </w:r>
      <w:r w:rsidRPr="00835CEE">
        <w:rPr>
          <w:rFonts w:asciiTheme="majorHAnsi" w:hAnsiTheme="majorHAnsi" w:cs="Times New Roman"/>
        </w:rPr>
        <w:t>YÖKDİL puanları aşağıda verilmiştir.</w:t>
      </w:r>
    </w:p>
    <w:p w:rsidR="00F905ED" w:rsidRPr="00835CEE" w:rsidRDefault="00F905ED" w:rsidP="00835CEE">
      <w:pPr>
        <w:spacing w:after="0" w:line="240" w:lineRule="auto"/>
        <w:jc w:val="both"/>
        <w:rPr>
          <w:rFonts w:asciiTheme="majorHAnsi" w:eastAsia="Times New Roman" w:hAnsiTheme="majorHAnsi" w:cs="Times New Roman"/>
          <w:lang w:val="en-AU" w:eastAsia="en-AU"/>
        </w:rPr>
      </w:pPr>
      <w:bookmarkStart w:id="0" w:name="_GoBack"/>
      <w:bookmarkEnd w:id="0"/>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993"/>
        <w:gridCol w:w="1134"/>
        <w:gridCol w:w="1842"/>
        <w:gridCol w:w="1985"/>
      </w:tblGrid>
      <w:tr w:rsidR="00483A19"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83A19" w:rsidRPr="00835CEE" w:rsidRDefault="00483A19"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KPDS/ÜDS/YDS/</w:t>
            </w:r>
            <w:r w:rsidR="00792D29" w:rsidRPr="00835CEE">
              <w:rPr>
                <w:rFonts w:asciiTheme="majorHAnsi" w:eastAsia="Times New Roman" w:hAnsiTheme="majorHAnsi" w:cs="Times New Roman"/>
                <w:b/>
                <w:bCs/>
                <w:color w:val="000000"/>
                <w:lang w:val="en-AU" w:eastAsia="en-AU"/>
              </w:rPr>
              <w:t>e-YDS</w:t>
            </w:r>
            <w:r w:rsidR="00766A84" w:rsidRPr="00835CEE">
              <w:rPr>
                <w:rFonts w:asciiTheme="majorHAnsi" w:eastAsia="Times New Roman" w:hAnsiTheme="majorHAnsi" w:cs="Times New Roman"/>
                <w:b/>
                <w:bCs/>
                <w:color w:val="000000"/>
                <w:lang w:val="en-AU" w:eastAsia="en-AU"/>
              </w:rPr>
              <w:t>/</w:t>
            </w:r>
            <w:r w:rsidRPr="00835CEE">
              <w:rPr>
                <w:rFonts w:asciiTheme="majorHAnsi" w:eastAsia="Times New Roman" w:hAnsiTheme="majorHAnsi" w:cs="Times New Roman"/>
                <w:b/>
                <w:bCs/>
                <w:color w:val="000000"/>
                <w:lang w:val="en-AU" w:eastAsia="en-AU"/>
              </w:rPr>
              <w:t>YÖKDİL</w:t>
            </w:r>
          </w:p>
        </w:tc>
        <w:tc>
          <w:tcPr>
            <w:tcW w:w="993" w:type="dxa"/>
            <w:tcBorders>
              <w:top w:val="outset" w:sz="6" w:space="0" w:color="auto"/>
              <w:left w:val="outset" w:sz="6" w:space="0" w:color="auto"/>
              <w:bottom w:val="outset" w:sz="6" w:space="0" w:color="auto"/>
              <w:right w:val="outset" w:sz="6" w:space="0" w:color="auto"/>
            </w:tcBorders>
            <w:vAlign w:val="center"/>
          </w:tcPr>
          <w:p w:rsidR="00483A19" w:rsidRPr="00835CEE" w:rsidRDefault="00483A19"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CPE</w:t>
            </w:r>
          </w:p>
        </w:tc>
        <w:tc>
          <w:tcPr>
            <w:tcW w:w="1134" w:type="dxa"/>
            <w:tcBorders>
              <w:top w:val="outset" w:sz="6" w:space="0" w:color="auto"/>
              <w:left w:val="outset" w:sz="6" w:space="0" w:color="auto"/>
              <w:bottom w:val="outset" w:sz="6" w:space="0" w:color="auto"/>
              <w:right w:val="outset" w:sz="6" w:space="0" w:color="auto"/>
            </w:tcBorders>
          </w:tcPr>
          <w:p w:rsidR="00483A19" w:rsidRPr="00835CEE" w:rsidRDefault="00483A19"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CAE</w:t>
            </w:r>
          </w:p>
        </w:tc>
        <w:tc>
          <w:tcPr>
            <w:tcW w:w="1842" w:type="dxa"/>
            <w:tcBorders>
              <w:top w:val="outset" w:sz="6" w:space="0" w:color="auto"/>
              <w:left w:val="outset" w:sz="6" w:space="0" w:color="auto"/>
              <w:bottom w:val="outset" w:sz="6" w:space="0" w:color="auto"/>
              <w:right w:val="outset" w:sz="6" w:space="0" w:color="auto"/>
            </w:tcBorders>
            <w:vAlign w:val="center"/>
          </w:tcPr>
          <w:p w:rsidR="00483A19" w:rsidRPr="00835CEE" w:rsidRDefault="002855CA"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 xml:space="preserve">TOEFL </w:t>
            </w:r>
            <w:proofErr w:type="spellStart"/>
            <w:r w:rsidRPr="00835CEE">
              <w:rPr>
                <w:rFonts w:asciiTheme="majorHAnsi" w:eastAsia="Times New Roman" w:hAnsiTheme="majorHAnsi" w:cs="Times New Roman"/>
                <w:b/>
                <w:bCs/>
                <w:color w:val="000000"/>
                <w:lang w:val="en-AU" w:eastAsia="en-AU"/>
              </w:rPr>
              <w:t>i</w:t>
            </w:r>
            <w:r w:rsidR="00483A19" w:rsidRPr="00835CEE">
              <w:rPr>
                <w:rFonts w:asciiTheme="majorHAnsi" w:eastAsia="Times New Roman" w:hAnsiTheme="majorHAnsi" w:cs="Times New Roman"/>
                <w:b/>
                <w:bCs/>
                <w:color w:val="000000"/>
                <w:lang w:val="en-AU" w:eastAsia="en-AU"/>
              </w:rPr>
              <w:t>BT</w:t>
            </w:r>
            <w:proofErr w:type="spellEnd"/>
          </w:p>
        </w:tc>
        <w:tc>
          <w:tcPr>
            <w:tcW w:w="1985" w:type="dxa"/>
            <w:tcBorders>
              <w:top w:val="outset" w:sz="6" w:space="0" w:color="auto"/>
              <w:left w:val="outset" w:sz="6" w:space="0" w:color="auto"/>
              <w:bottom w:val="outset" w:sz="6" w:space="0" w:color="auto"/>
              <w:right w:val="outset" w:sz="6" w:space="0" w:color="auto"/>
            </w:tcBorders>
            <w:vAlign w:val="center"/>
          </w:tcPr>
          <w:p w:rsidR="00483A19" w:rsidRPr="00835CEE" w:rsidRDefault="00483A19"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color w:val="000000"/>
                <w:lang w:val="en-AU" w:eastAsia="en-AU"/>
              </w:rPr>
              <w:t>PTE</w:t>
            </w:r>
            <w:r w:rsidR="00F00D7F" w:rsidRPr="00835CEE">
              <w:rPr>
                <w:rFonts w:asciiTheme="majorHAnsi" w:eastAsia="Times New Roman" w:hAnsiTheme="majorHAnsi" w:cs="Times New Roman"/>
                <w:b/>
                <w:color w:val="000000"/>
                <w:lang w:val="en-AU" w:eastAsia="en-AU"/>
              </w:rPr>
              <w:t xml:space="preserve"> </w:t>
            </w:r>
            <w:proofErr w:type="spellStart"/>
            <w:r w:rsidR="00F00D7F" w:rsidRPr="00835CEE">
              <w:rPr>
                <w:rFonts w:asciiTheme="majorHAnsi" w:eastAsia="Times New Roman" w:hAnsiTheme="majorHAnsi" w:cs="Times New Roman"/>
                <w:b/>
                <w:color w:val="000000"/>
                <w:lang w:val="en-AU" w:eastAsia="en-AU"/>
              </w:rPr>
              <w:t>Akademik</w:t>
            </w:r>
            <w:proofErr w:type="spellEnd"/>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bCs/>
                <w:color w:val="000000"/>
                <w:lang w:val="en-AU" w:eastAsia="en-AU"/>
              </w:rPr>
              <w:t>60</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C</w:t>
            </w:r>
          </w:p>
        </w:tc>
        <w:tc>
          <w:tcPr>
            <w:tcW w:w="1842" w:type="dxa"/>
            <w:tcBorders>
              <w:top w:val="outset" w:sz="6" w:space="0" w:color="auto"/>
              <w:left w:val="outset" w:sz="6" w:space="0" w:color="auto"/>
              <w:bottom w:val="outset" w:sz="6" w:space="0" w:color="auto"/>
              <w:right w:val="outset" w:sz="6" w:space="0" w:color="auto"/>
            </w:tcBorders>
            <w:vAlign w:val="center"/>
            <w:hideMark/>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bCs/>
                <w:color w:val="000000"/>
                <w:lang w:val="en-AU" w:eastAsia="en-AU"/>
              </w:rPr>
              <w:t>72</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color w:val="000000"/>
                <w:lang w:val="en-AU" w:eastAsia="en-AU"/>
              </w:rPr>
              <w:t>55</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65</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p>
        </w:tc>
        <w:tc>
          <w:tcPr>
            <w:tcW w:w="184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78</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67</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bCs/>
                <w:color w:val="000000"/>
                <w:lang w:val="en-AU" w:eastAsia="en-AU"/>
              </w:rPr>
              <w:t>70</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color w:val="000000"/>
                <w:lang w:val="en-AU" w:eastAsia="en-AU"/>
              </w:rPr>
            </w:pPr>
            <w:r w:rsidRPr="00835CEE">
              <w:rPr>
                <w:rFonts w:asciiTheme="majorHAnsi" w:eastAsia="Times New Roman" w:hAnsiTheme="majorHAnsi" w:cs="Times New Roman"/>
                <w:b/>
                <w:bCs/>
                <w:color w:val="000000"/>
                <w:lang w:val="en-AU" w:eastAsia="en-AU"/>
              </w:rPr>
              <w:t>B</w:t>
            </w:r>
          </w:p>
        </w:tc>
        <w:tc>
          <w:tcPr>
            <w:tcW w:w="1842" w:type="dxa"/>
            <w:tcBorders>
              <w:top w:val="outset" w:sz="6" w:space="0" w:color="auto"/>
              <w:left w:val="outset" w:sz="6" w:space="0" w:color="auto"/>
              <w:bottom w:val="outset" w:sz="6" w:space="0" w:color="auto"/>
              <w:right w:val="outset" w:sz="6" w:space="0" w:color="auto"/>
            </w:tcBorders>
            <w:vAlign w:val="center"/>
            <w:hideMark/>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bCs/>
                <w:color w:val="000000"/>
                <w:lang w:val="en-AU" w:eastAsia="en-AU"/>
              </w:rPr>
              <w:t>84</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color w:val="000000"/>
                <w:lang w:val="en-AU" w:eastAsia="en-AU"/>
              </w:rPr>
            </w:pPr>
            <w:r w:rsidRPr="00835CEE">
              <w:rPr>
                <w:rFonts w:asciiTheme="majorHAnsi" w:eastAsia="Times New Roman" w:hAnsiTheme="majorHAnsi" w:cs="Times New Roman"/>
                <w:b/>
                <w:color w:val="000000"/>
                <w:lang w:val="en-AU" w:eastAsia="en-AU"/>
              </w:rPr>
              <w:t>71</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75</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84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90</w:t>
            </w:r>
            <w:r w:rsidR="00C33BCE" w:rsidRPr="00835CEE">
              <w:rPr>
                <w:rFonts w:asciiTheme="majorHAnsi" w:eastAsia="Times New Roman" w:hAnsiTheme="majorHAnsi" w:cs="Times New Roman"/>
                <w:b/>
                <w:bCs/>
                <w:lang w:val="en-AU" w:eastAsia="en-AU"/>
              </w:rPr>
              <w:t>-95</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75</w:t>
            </w:r>
            <w:r w:rsidR="00C33BCE" w:rsidRPr="00835CEE">
              <w:rPr>
                <w:rFonts w:asciiTheme="majorHAnsi" w:eastAsia="Times New Roman" w:hAnsiTheme="majorHAnsi" w:cs="Times New Roman"/>
                <w:b/>
                <w:bCs/>
                <w:lang w:val="en-AU" w:eastAsia="en-AU"/>
              </w:rPr>
              <w:t>-77</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bCs/>
                <w:lang w:val="en-AU" w:eastAsia="en-AU"/>
              </w:rPr>
              <w:t>80</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lang w:val="en-AU" w:eastAsia="en-AU"/>
              </w:rPr>
              <w:t>C</w:t>
            </w: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A</w:t>
            </w:r>
          </w:p>
        </w:tc>
        <w:tc>
          <w:tcPr>
            <w:tcW w:w="1842" w:type="dxa"/>
            <w:tcBorders>
              <w:top w:val="outset" w:sz="6" w:space="0" w:color="auto"/>
              <w:left w:val="outset" w:sz="6" w:space="0" w:color="auto"/>
              <w:bottom w:val="outset" w:sz="6" w:space="0" w:color="auto"/>
              <w:right w:val="outset" w:sz="6" w:space="0" w:color="auto"/>
            </w:tcBorders>
            <w:vAlign w:val="center"/>
            <w:hideMark/>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bCs/>
                <w:lang w:val="en-AU" w:eastAsia="en-AU"/>
              </w:rPr>
              <w:t>96</w:t>
            </w:r>
            <w:r w:rsidR="00C33BCE" w:rsidRPr="00835CEE">
              <w:rPr>
                <w:rFonts w:asciiTheme="majorHAnsi" w:eastAsia="Times New Roman" w:hAnsiTheme="majorHAnsi" w:cs="Times New Roman"/>
                <w:b/>
                <w:bCs/>
                <w:lang w:val="en-AU" w:eastAsia="en-AU"/>
              </w:rPr>
              <w:t>-101</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lang w:val="en-AU" w:eastAsia="en-AU"/>
              </w:rPr>
              <w:t>78</w:t>
            </w:r>
            <w:r w:rsidR="00C33BCE" w:rsidRPr="00835CEE">
              <w:rPr>
                <w:rFonts w:asciiTheme="majorHAnsi" w:eastAsia="Times New Roman" w:hAnsiTheme="majorHAnsi" w:cs="Times New Roman"/>
                <w:b/>
                <w:lang w:val="en-AU" w:eastAsia="en-AU"/>
              </w:rPr>
              <w:t>-80</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85</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84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102</w:t>
            </w:r>
            <w:r w:rsidR="00C33BCE" w:rsidRPr="00835CEE">
              <w:rPr>
                <w:rFonts w:asciiTheme="majorHAnsi" w:eastAsia="Times New Roman" w:hAnsiTheme="majorHAnsi" w:cs="Times New Roman"/>
                <w:b/>
                <w:bCs/>
                <w:lang w:val="en-AU" w:eastAsia="en-AU"/>
              </w:rPr>
              <w:t>-107</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81</w:t>
            </w:r>
            <w:r w:rsidR="00C33BCE" w:rsidRPr="00835CEE">
              <w:rPr>
                <w:rFonts w:asciiTheme="majorHAnsi" w:eastAsia="Times New Roman" w:hAnsiTheme="majorHAnsi" w:cs="Times New Roman"/>
                <w:b/>
                <w:bCs/>
                <w:lang w:val="en-AU" w:eastAsia="en-AU"/>
              </w:rPr>
              <w:t>-83</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bCs/>
                <w:lang w:val="en-AU" w:eastAsia="en-AU"/>
              </w:rPr>
              <w:t>90</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lang w:val="en-AU" w:eastAsia="en-AU"/>
              </w:rPr>
              <w:t>B</w:t>
            </w: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bCs/>
                <w:lang w:val="en-AU" w:eastAsia="en-AU"/>
              </w:rPr>
              <w:t>108</w:t>
            </w:r>
            <w:r w:rsidR="00C33BCE" w:rsidRPr="00835CEE">
              <w:rPr>
                <w:rFonts w:asciiTheme="majorHAnsi" w:eastAsia="Times New Roman" w:hAnsiTheme="majorHAnsi" w:cs="Times New Roman"/>
                <w:b/>
                <w:bCs/>
                <w:lang w:val="en-AU" w:eastAsia="en-AU"/>
              </w:rPr>
              <w:t>-113</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lang w:val="en-AU" w:eastAsia="en-AU"/>
              </w:rPr>
            </w:pPr>
            <w:r w:rsidRPr="00835CEE">
              <w:rPr>
                <w:rFonts w:asciiTheme="majorHAnsi" w:eastAsia="Times New Roman" w:hAnsiTheme="majorHAnsi" w:cs="Times New Roman"/>
                <w:b/>
                <w:lang w:val="en-AU" w:eastAsia="en-AU"/>
              </w:rPr>
              <w:t>84</w:t>
            </w:r>
            <w:r w:rsidR="00C33BCE" w:rsidRPr="00835CEE">
              <w:rPr>
                <w:rFonts w:asciiTheme="majorHAnsi" w:eastAsia="Times New Roman" w:hAnsiTheme="majorHAnsi" w:cs="Times New Roman"/>
                <w:b/>
                <w:lang w:val="en-AU" w:eastAsia="en-AU"/>
              </w:rPr>
              <w:t>-86</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95</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84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114</w:t>
            </w:r>
            <w:r w:rsidR="00C33BCE" w:rsidRPr="00835CEE">
              <w:rPr>
                <w:rFonts w:asciiTheme="majorHAnsi" w:eastAsia="Times New Roman" w:hAnsiTheme="majorHAnsi" w:cs="Times New Roman"/>
                <w:b/>
                <w:bCs/>
                <w:lang w:val="en-AU" w:eastAsia="en-AU"/>
              </w:rPr>
              <w:t>-119</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87</w:t>
            </w:r>
            <w:r w:rsidR="00C33BCE" w:rsidRPr="00835CEE">
              <w:rPr>
                <w:rFonts w:asciiTheme="majorHAnsi" w:eastAsia="Times New Roman" w:hAnsiTheme="majorHAnsi" w:cs="Times New Roman"/>
                <w:b/>
                <w:bCs/>
                <w:lang w:val="en-AU" w:eastAsia="en-AU"/>
              </w:rPr>
              <w:t>-89</w:t>
            </w:r>
          </w:p>
        </w:tc>
      </w:tr>
      <w:tr w:rsidR="004E02C2" w:rsidRPr="00835CEE" w:rsidTr="00835CEE">
        <w:trPr>
          <w:tblCellSpacing w:w="0" w:type="dxa"/>
        </w:trPr>
        <w:tc>
          <w:tcPr>
            <w:tcW w:w="340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100</w:t>
            </w:r>
          </w:p>
        </w:tc>
        <w:tc>
          <w:tcPr>
            <w:tcW w:w="993" w:type="dxa"/>
            <w:tcBorders>
              <w:top w:val="outset" w:sz="6" w:space="0" w:color="auto"/>
              <w:left w:val="outset" w:sz="6" w:space="0" w:color="auto"/>
              <w:bottom w:val="outset" w:sz="6" w:space="0" w:color="auto"/>
              <w:right w:val="outset" w:sz="6" w:space="0" w:color="auto"/>
            </w:tcBorders>
            <w:vAlign w:val="center"/>
          </w:tcPr>
          <w:p w:rsidR="004E02C2" w:rsidRPr="00835CEE" w:rsidRDefault="00F00D7F"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A</w:t>
            </w:r>
          </w:p>
        </w:tc>
        <w:tc>
          <w:tcPr>
            <w:tcW w:w="1134" w:type="dxa"/>
            <w:tcBorders>
              <w:top w:val="outset" w:sz="6" w:space="0" w:color="auto"/>
              <w:left w:val="outset" w:sz="6" w:space="0" w:color="auto"/>
              <w:bottom w:val="outset" w:sz="6" w:space="0" w:color="auto"/>
              <w:right w:val="outset" w:sz="6" w:space="0" w:color="auto"/>
            </w:tcBorders>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p>
        </w:tc>
        <w:tc>
          <w:tcPr>
            <w:tcW w:w="1842"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120</w:t>
            </w:r>
            <w:r w:rsidR="00C33BCE" w:rsidRPr="00835CEE">
              <w:rPr>
                <w:rFonts w:asciiTheme="majorHAnsi" w:eastAsia="Times New Roman" w:hAnsiTheme="majorHAnsi" w:cs="Times New Roman"/>
                <w:b/>
                <w:bCs/>
                <w:lang w:val="en-AU" w:eastAsia="en-AU"/>
              </w:rPr>
              <w:t>-</w:t>
            </w:r>
          </w:p>
        </w:tc>
        <w:tc>
          <w:tcPr>
            <w:tcW w:w="1985" w:type="dxa"/>
            <w:tcBorders>
              <w:top w:val="outset" w:sz="6" w:space="0" w:color="auto"/>
              <w:left w:val="outset" w:sz="6" w:space="0" w:color="auto"/>
              <w:bottom w:val="outset" w:sz="6" w:space="0" w:color="auto"/>
              <w:right w:val="outset" w:sz="6" w:space="0" w:color="auto"/>
            </w:tcBorders>
            <w:vAlign w:val="center"/>
          </w:tcPr>
          <w:p w:rsidR="004E02C2" w:rsidRPr="00835CEE" w:rsidRDefault="004E02C2" w:rsidP="00835CEE">
            <w:pPr>
              <w:spacing w:after="0" w:line="240" w:lineRule="auto"/>
              <w:jc w:val="center"/>
              <w:rPr>
                <w:rFonts w:asciiTheme="majorHAnsi" w:eastAsia="Times New Roman" w:hAnsiTheme="majorHAnsi" w:cs="Times New Roman"/>
                <w:b/>
                <w:bCs/>
                <w:lang w:val="en-AU" w:eastAsia="en-AU"/>
              </w:rPr>
            </w:pPr>
            <w:r w:rsidRPr="00835CEE">
              <w:rPr>
                <w:rFonts w:asciiTheme="majorHAnsi" w:eastAsia="Times New Roman" w:hAnsiTheme="majorHAnsi" w:cs="Times New Roman"/>
                <w:b/>
                <w:bCs/>
                <w:lang w:val="en-AU" w:eastAsia="en-AU"/>
              </w:rPr>
              <w:t>90</w:t>
            </w:r>
            <w:r w:rsidR="00C33BCE" w:rsidRPr="00835CEE">
              <w:rPr>
                <w:rFonts w:asciiTheme="majorHAnsi" w:eastAsia="Times New Roman" w:hAnsiTheme="majorHAnsi" w:cs="Times New Roman"/>
                <w:b/>
                <w:bCs/>
                <w:lang w:val="en-AU" w:eastAsia="en-AU"/>
              </w:rPr>
              <w:t>-</w:t>
            </w:r>
          </w:p>
        </w:tc>
      </w:tr>
    </w:tbl>
    <w:p w:rsidR="00F905ED" w:rsidRPr="00835CEE" w:rsidRDefault="00F905ED" w:rsidP="00835CEE">
      <w:pPr>
        <w:spacing w:after="0" w:line="240" w:lineRule="auto"/>
        <w:rPr>
          <w:rFonts w:asciiTheme="majorHAnsi" w:eastAsia="Times New Roman" w:hAnsiTheme="majorHAnsi" w:cs="Times New Roman"/>
          <w:lang w:val="en-AU" w:eastAsia="en-AU"/>
        </w:rPr>
      </w:pPr>
    </w:p>
    <w:p w:rsidR="00CD3F2C" w:rsidRPr="00835CEE" w:rsidRDefault="007106B6" w:rsidP="00835CEE">
      <w:pPr>
        <w:spacing w:after="0" w:line="240" w:lineRule="auto"/>
        <w:rPr>
          <w:rFonts w:asciiTheme="majorHAnsi" w:eastAsia="Times New Roman" w:hAnsiTheme="majorHAnsi" w:cs="Times New Roman"/>
          <w:lang w:val="en-AU" w:eastAsia="en-AU"/>
        </w:rPr>
      </w:pPr>
      <w:proofErr w:type="spellStart"/>
      <w:r w:rsidRPr="00835CEE">
        <w:rPr>
          <w:rFonts w:asciiTheme="majorHAnsi" w:eastAsia="Times New Roman" w:hAnsiTheme="majorHAnsi" w:cs="Times New Roman"/>
          <w:lang w:val="en-AU" w:eastAsia="en-AU"/>
        </w:rPr>
        <w:t>Referans</w:t>
      </w:r>
      <w:proofErr w:type="spellEnd"/>
      <w:r w:rsidRPr="00835CEE">
        <w:rPr>
          <w:rFonts w:asciiTheme="majorHAnsi" w:eastAsia="Times New Roman" w:hAnsiTheme="majorHAnsi" w:cs="Times New Roman"/>
          <w:lang w:val="en-AU" w:eastAsia="en-AU"/>
        </w:rPr>
        <w:t>:</w:t>
      </w:r>
    </w:p>
    <w:p w:rsidR="00F905ED" w:rsidRPr="00835CEE" w:rsidRDefault="00835CEE" w:rsidP="00835CEE">
      <w:pPr>
        <w:spacing w:after="0" w:line="240" w:lineRule="auto"/>
        <w:rPr>
          <w:rFonts w:asciiTheme="majorHAnsi" w:eastAsia="Times New Roman" w:hAnsiTheme="majorHAnsi" w:cs="Times New Roman"/>
          <w:lang w:val="en-AU" w:eastAsia="en-AU"/>
        </w:rPr>
      </w:pPr>
      <w:hyperlink r:id="rId5" w:history="1">
        <w:r w:rsidR="00F905ED" w:rsidRPr="00835CEE">
          <w:rPr>
            <w:rFonts w:asciiTheme="majorHAnsi" w:eastAsia="Times New Roman" w:hAnsiTheme="majorHAnsi" w:cs="Times New Roman"/>
            <w:color w:val="0000FF"/>
            <w:u w:val="single"/>
            <w:lang w:val="en-AU" w:eastAsia="en-AU"/>
          </w:rPr>
          <w:t>http://dokuman.osym.gov.tr/pdfdokuman/2016/GENEL/EsdegerlikTablosu26022016.pdf</w:t>
        </w:r>
      </w:hyperlink>
      <w:r w:rsidR="00F905ED" w:rsidRPr="00835CEE">
        <w:rPr>
          <w:rFonts w:asciiTheme="majorHAnsi" w:eastAsia="Times New Roman" w:hAnsiTheme="majorHAnsi" w:cs="Times New Roman"/>
          <w:color w:val="000000"/>
          <w:lang w:val="en-AU" w:eastAsia="en-AU"/>
        </w:rPr>
        <w:t xml:space="preserve"> </w:t>
      </w:r>
    </w:p>
    <w:p w:rsidR="00F905ED" w:rsidRPr="00835CEE" w:rsidRDefault="00F905ED" w:rsidP="00835CEE">
      <w:pPr>
        <w:spacing w:after="0" w:line="240" w:lineRule="auto"/>
        <w:rPr>
          <w:rFonts w:asciiTheme="majorHAnsi" w:eastAsia="Times New Roman" w:hAnsiTheme="majorHAnsi" w:cs="Times New Roman"/>
          <w:lang w:val="en-AU" w:eastAsia="en-AU"/>
        </w:rPr>
      </w:pPr>
    </w:p>
    <w:p w:rsidR="00C33BCE" w:rsidRDefault="00766A84" w:rsidP="00835CEE">
      <w:pPr>
        <w:spacing w:after="0" w:line="240" w:lineRule="auto"/>
        <w:rPr>
          <w:rFonts w:ascii="Arial" w:eastAsia="Times New Roman" w:hAnsi="Arial" w:cs="Arial"/>
          <w:b/>
          <w:bCs/>
          <w:color w:val="333333"/>
          <w:sz w:val="27"/>
          <w:szCs w:val="27"/>
          <w:lang w:eastAsia="tr-TR"/>
        </w:rPr>
      </w:pPr>
      <w:proofErr w:type="spellStart"/>
      <w:r w:rsidRPr="00835CEE">
        <w:rPr>
          <w:rFonts w:asciiTheme="majorHAnsi" w:eastAsia="Times New Roman" w:hAnsiTheme="majorHAnsi" w:cs="Times New Roman"/>
          <w:b/>
          <w:lang w:val="en-AU" w:eastAsia="en-AU"/>
        </w:rPr>
        <w:t>Yabancı</w:t>
      </w:r>
      <w:proofErr w:type="spellEnd"/>
      <w:r w:rsidRPr="00835CEE">
        <w:rPr>
          <w:rFonts w:asciiTheme="majorHAnsi" w:eastAsia="Times New Roman" w:hAnsiTheme="majorHAnsi" w:cs="Times New Roman"/>
          <w:b/>
          <w:lang w:val="en-AU" w:eastAsia="en-AU"/>
        </w:rPr>
        <w:t xml:space="preserve"> </w:t>
      </w:r>
      <w:proofErr w:type="spellStart"/>
      <w:r w:rsidR="00F905ED" w:rsidRPr="00835CEE">
        <w:rPr>
          <w:rFonts w:asciiTheme="majorHAnsi" w:eastAsia="Times New Roman" w:hAnsiTheme="majorHAnsi" w:cs="Times New Roman"/>
          <w:b/>
          <w:lang w:val="en-AU" w:eastAsia="en-AU"/>
        </w:rPr>
        <w:t>Dil</w:t>
      </w:r>
      <w:proofErr w:type="spellEnd"/>
      <w:r w:rsidRPr="00835CEE">
        <w:rPr>
          <w:rFonts w:asciiTheme="majorHAnsi" w:eastAsia="Times New Roman" w:hAnsiTheme="majorHAnsi" w:cs="Times New Roman"/>
          <w:b/>
          <w:lang w:val="en-AU" w:eastAsia="en-AU"/>
        </w:rPr>
        <w:t xml:space="preserve"> </w:t>
      </w:r>
      <w:proofErr w:type="spellStart"/>
      <w:r w:rsidRPr="00835CEE">
        <w:rPr>
          <w:rFonts w:asciiTheme="majorHAnsi" w:eastAsia="Times New Roman" w:hAnsiTheme="majorHAnsi" w:cs="Times New Roman"/>
          <w:b/>
          <w:lang w:val="en-AU" w:eastAsia="en-AU"/>
        </w:rPr>
        <w:t>Sınavlarının</w:t>
      </w:r>
      <w:proofErr w:type="spellEnd"/>
      <w:r w:rsidR="00F905ED" w:rsidRPr="00835CEE">
        <w:rPr>
          <w:rFonts w:asciiTheme="majorHAnsi" w:eastAsia="Times New Roman" w:hAnsiTheme="majorHAnsi" w:cs="Times New Roman"/>
          <w:b/>
          <w:lang w:val="en-AU" w:eastAsia="en-AU"/>
        </w:rPr>
        <w:t xml:space="preserve"> </w:t>
      </w:r>
      <w:proofErr w:type="spellStart"/>
      <w:r w:rsidRPr="00835CEE">
        <w:rPr>
          <w:rFonts w:asciiTheme="majorHAnsi" w:eastAsia="Times New Roman" w:hAnsiTheme="majorHAnsi" w:cs="Times New Roman"/>
          <w:b/>
          <w:lang w:val="en-AU" w:eastAsia="en-AU"/>
        </w:rPr>
        <w:t>Geçerlilik</w:t>
      </w:r>
      <w:proofErr w:type="spellEnd"/>
      <w:r w:rsidRPr="00835CEE">
        <w:rPr>
          <w:rFonts w:asciiTheme="majorHAnsi" w:eastAsia="Times New Roman" w:hAnsiTheme="majorHAnsi" w:cs="Times New Roman"/>
          <w:b/>
          <w:lang w:val="en-AU" w:eastAsia="en-AU"/>
        </w:rPr>
        <w:t xml:space="preserve"> </w:t>
      </w:r>
      <w:proofErr w:type="spellStart"/>
      <w:r w:rsidRPr="00835CEE">
        <w:rPr>
          <w:rFonts w:asciiTheme="majorHAnsi" w:eastAsia="Times New Roman" w:hAnsiTheme="majorHAnsi" w:cs="Times New Roman"/>
          <w:b/>
          <w:lang w:val="en-AU" w:eastAsia="en-AU"/>
        </w:rPr>
        <w:t>S</w:t>
      </w:r>
      <w:r w:rsidR="00F905ED" w:rsidRPr="00835CEE">
        <w:rPr>
          <w:rFonts w:asciiTheme="majorHAnsi" w:eastAsia="Times New Roman" w:hAnsiTheme="majorHAnsi" w:cs="Times New Roman"/>
          <w:b/>
          <w:lang w:val="en-AU" w:eastAsia="en-AU"/>
        </w:rPr>
        <w:t>üreleri</w:t>
      </w:r>
      <w:proofErr w:type="spellEnd"/>
      <w:r w:rsidRPr="00835CEE">
        <w:rPr>
          <w:rFonts w:asciiTheme="majorHAnsi" w:eastAsia="Times New Roman" w:hAnsiTheme="majorHAnsi" w:cs="Times New Roman"/>
          <w:b/>
          <w:lang w:val="en-AU" w:eastAsia="en-AU"/>
        </w:rPr>
        <w:t xml:space="preserve">: 5 </w:t>
      </w:r>
      <w:proofErr w:type="spellStart"/>
      <w:r w:rsidRPr="00835CEE">
        <w:rPr>
          <w:rFonts w:asciiTheme="majorHAnsi" w:eastAsia="Times New Roman" w:hAnsiTheme="majorHAnsi" w:cs="Times New Roman"/>
          <w:b/>
          <w:lang w:val="en-AU" w:eastAsia="en-AU"/>
        </w:rPr>
        <w:t>yıl</w:t>
      </w:r>
      <w:proofErr w:type="spellEnd"/>
    </w:p>
    <w:sectPr w:rsidR="00C33BCE" w:rsidSect="00835CEE">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43"/>
    <w:rsid w:val="000455A1"/>
    <w:rsid w:val="00180B50"/>
    <w:rsid w:val="00266BFC"/>
    <w:rsid w:val="002855CA"/>
    <w:rsid w:val="004714F2"/>
    <w:rsid w:val="00483A19"/>
    <w:rsid w:val="004E02C2"/>
    <w:rsid w:val="006A3B25"/>
    <w:rsid w:val="006C002D"/>
    <w:rsid w:val="006C2D98"/>
    <w:rsid w:val="007106B6"/>
    <w:rsid w:val="00766A84"/>
    <w:rsid w:val="00792D29"/>
    <w:rsid w:val="00811BE1"/>
    <w:rsid w:val="00835CEE"/>
    <w:rsid w:val="00936008"/>
    <w:rsid w:val="00AC64DA"/>
    <w:rsid w:val="00B00C43"/>
    <w:rsid w:val="00C33BCE"/>
    <w:rsid w:val="00CC35B4"/>
    <w:rsid w:val="00CD3F2C"/>
    <w:rsid w:val="00E4649E"/>
    <w:rsid w:val="00E53C0C"/>
    <w:rsid w:val="00ED3045"/>
    <w:rsid w:val="00F00D7F"/>
    <w:rsid w:val="00F90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905E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D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905E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D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72500">
      <w:bodyDiv w:val="1"/>
      <w:marLeft w:val="0"/>
      <w:marRight w:val="0"/>
      <w:marTop w:val="0"/>
      <w:marBottom w:val="0"/>
      <w:divBdr>
        <w:top w:val="none" w:sz="0" w:space="0" w:color="auto"/>
        <w:left w:val="none" w:sz="0" w:space="0" w:color="auto"/>
        <w:bottom w:val="none" w:sz="0" w:space="0" w:color="auto"/>
        <w:right w:val="none" w:sz="0" w:space="0" w:color="auto"/>
      </w:divBdr>
      <w:divsChild>
        <w:div w:id="581332098">
          <w:marLeft w:val="-225"/>
          <w:marRight w:val="-225"/>
          <w:marTop w:val="0"/>
          <w:marBottom w:val="225"/>
          <w:divBdr>
            <w:top w:val="none" w:sz="0" w:space="0" w:color="auto"/>
            <w:left w:val="none" w:sz="0" w:space="0" w:color="auto"/>
            <w:bottom w:val="none" w:sz="0" w:space="0" w:color="auto"/>
            <w:right w:val="none" w:sz="0" w:space="0" w:color="auto"/>
          </w:divBdr>
          <w:divsChild>
            <w:div w:id="368651145">
              <w:marLeft w:val="0"/>
              <w:marRight w:val="0"/>
              <w:marTop w:val="0"/>
              <w:marBottom w:val="0"/>
              <w:divBdr>
                <w:top w:val="none" w:sz="0" w:space="0" w:color="auto"/>
                <w:left w:val="none" w:sz="0" w:space="0" w:color="auto"/>
                <w:bottom w:val="none" w:sz="0" w:space="0" w:color="auto"/>
                <w:right w:val="none" w:sz="0" w:space="0" w:color="auto"/>
              </w:divBdr>
            </w:div>
            <w:div w:id="772675345">
              <w:marLeft w:val="0"/>
              <w:marRight w:val="0"/>
              <w:marTop w:val="0"/>
              <w:marBottom w:val="0"/>
              <w:divBdr>
                <w:top w:val="none" w:sz="0" w:space="0" w:color="auto"/>
                <w:left w:val="none" w:sz="0" w:space="0" w:color="auto"/>
                <w:bottom w:val="none" w:sz="0" w:space="0" w:color="auto"/>
                <w:right w:val="none" w:sz="0" w:space="0" w:color="auto"/>
              </w:divBdr>
            </w:div>
            <w:div w:id="39131645">
              <w:marLeft w:val="0"/>
              <w:marRight w:val="0"/>
              <w:marTop w:val="0"/>
              <w:marBottom w:val="0"/>
              <w:divBdr>
                <w:top w:val="none" w:sz="0" w:space="0" w:color="auto"/>
                <w:left w:val="none" w:sz="0" w:space="0" w:color="auto"/>
                <w:bottom w:val="none" w:sz="0" w:space="0" w:color="auto"/>
                <w:right w:val="none" w:sz="0" w:space="0" w:color="auto"/>
              </w:divBdr>
            </w:div>
            <w:div w:id="2115401084">
              <w:marLeft w:val="0"/>
              <w:marRight w:val="0"/>
              <w:marTop w:val="0"/>
              <w:marBottom w:val="0"/>
              <w:divBdr>
                <w:top w:val="none" w:sz="0" w:space="0" w:color="auto"/>
                <w:left w:val="none" w:sz="0" w:space="0" w:color="auto"/>
                <w:bottom w:val="none" w:sz="0" w:space="0" w:color="auto"/>
                <w:right w:val="none" w:sz="0" w:space="0" w:color="auto"/>
              </w:divBdr>
            </w:div>
            <w:div w:id="1159004638">
              <w:marLeft w:val="0"/>
              <w:marRight w:val="0"/>
              <w:marTop w:val="0"/>
              <w:marBottom w:val="0"/>
              <w:divBdr>
                <w:top w:val="none" w:sz="0" w:space="0" w:color="auto"/>
                <w:left w:val="none" w:sz="0" w:space="0" w:color="auto"/>
                <w:bottom w:val="none" w:sz="0" w:space="0" w:color="auto"/>
                <w:right w:val="none" w:sz="0" w:space="0" w:color="auto"/>
              </w:divBdr>
            </w:div>
            <w:div w:id="537739739">
              <w:marLeft w:val="0"/>
              <w:marRight w:val="0"/>
              <w:marTop w:val="0"/>
              <w:marBottom w:val="0"/>
              <w:divBdr>
                <w:top w:val="none" w:sz="0" w:space="0" w:color="auto"/>
                <w:left w:val="none" w:sz="0" w:space="0" w:color="auto"/>
                <w:bottom w:val="none" w:sz="0" w:space="0" w:color="auto"/>
                <w:right w:val="none" w:sz="0" w:space="0" w:color="auto"/>
              </w:divBdr>
            </w:div>
            <w:div w:id="343947403">
              <w:marLeft w:val="0"/>
              <w:marRight w:val="0"/>
              <w:marTop w:val="0"/>
              <w:marBottom w:val="0"/>
              <w:divBdr>
                <w:top w:val="none" w:sz="0" w:space="0" w:color="auto"/>
                <w:left w:val="none" w:sz="0" w:space="0" w:color="auto"/>
                <w:bottom w:val="none" w:sz="0" w:space="0" w:color="auto"/>
                <w:right w:val="none" w:sz="0" w:space="0" w:color="auto"/>
              </w:divBdr>
            </w:div>
            <w:div w:id="1267038334">
              <w:marLeft w:val="0"/>
              <w:marRight w:val="0"/>
              <w:marTop w:val="0"/>
              <w:marBottom w:val="0"/>
              <w:divBdr>
                <w:top w:val="none" w:sz="0" w:space="0" w:color="auto"/>
                <w:left w:val="none" w:sz="0" w:space="0" w:color="auto"/>
                <w:bottom w:val="none" w:sz="0" w:space="0" w:color="auto"/>
                <w:right w:val="none" w:sz="0" w:space="0" w:color="auto"/>
              </w:divBdr>
            </w:div>
          </w:divsChild>
        </w:div>
        <w:div w:id="1048796778">
          <w:marLeft w:val="-225"/>
          <w:marRight w:val="-225"/>
          <w:marTop w:val="0"/>
          <w:marBottom w:val="225"/>
          <w:divBdr>
            <w:top w:val="none" w:sz="0" w:space="0" w:color="auto"/>
            <w:left w:val="none" w:sz="0" w:space="0" w:color="auto"/>
            <w:bottom w:val="none" w:sz="0" w:space="0" w:color="auto"/>
            <w:right w:val="none" w:sz="0" w:space="0" w:color="auto"/>
          </w:divBdr>
          <w:divsChild>
            <w:div w:id="1940992235">
              <w:marLeft w:val="-225"/>
              <w:marRight w:val="-225"/>
              <w:marTop w:val="0"/>
              <w:marBottom w:val="0"/>
              <w:divBdr>
                <w:top w:val="none" w:sz="0" w:space="0" w:color="auto"/>
                <w:left w:val="none" w:sz="0" w:space="0" w:color="auto"/>
                <w:bottom w:val="none" w:sz="0" w:space="0" w:color="auto"/>
                <w:right w:val="none" w:sz="0" w:space="0" w:color="auto"/>
              </w:divBdr>
              <w:divsChild>
                <w:div w:id="15567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kuman.osym.gov.tr/pdfdokuman/2016/GENEL/EsdegerlikTablosu26022016.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Bol Yazici</dc:creator>
  <cp:lastModifiedBy>Rıdvan Kızılkaya</cp:lastModifiedBy>
  <cp:revision>2</cp:revision>
  <dcterms:created xsi:type="dcterms:W3CDTF">2017-09-08T12:37:00Z</dcterms:created>
  <dcterms:modified xsi:type="dcterms:W3CDTF">2017-09-08T12:37:00Z</dcterms:modified>
</cp:coreProperties>
</file>